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25 maja 2017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48"/>
          <w:shd w:fill="auto" w:val="clear"/>
        </w:rPr>
        <w:t xml:space="preserve">Docs+Science = nauka i film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Krakowska Fundacja Filmowa wraz z Fundacj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dla AGH zaprasza na czwartą już edycję pokaz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najciekawszych filmów naukowych i spotkania z ekspertami w cyklu Docs+Science, odbywaj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ącego się w ramach 57. Krakowskiego Festiwalu Filmowego.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programie pojawi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intrygujące dokumenty o nauce, odkryciach, innowacjach, a także o tych,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órzy nauk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tworzą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 naukowcach, pasjonatach i odkrywcach. Tegoroczne filmy z ca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łego świata to to m.in.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óby odpowiedzi na nurtuj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ludzkość pytania,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 powracaj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wciąż w kontekście szybko rozwijających się technologii.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Jak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łają biobanki przechowujące geny milion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organizmów? Jakie tajemnice kryje podlodowcowe jezioro Wostok? Czy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na Ziemi zbudować słońce,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 dostarczy nam czystej i taniej energii? Czy oprogramowanie OpenCog naprawd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może modelować ludzki umysł? Co będziemy robić, jeśli nie będziemy musieli pracować? Jakie są przyczyny krach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gospodarczych? Dowiemy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ż, jak zmiany środowiska wpływać mogą na tradycyjne społeczności Wysp Faroa i spr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óbujemy rozwik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łać zagadkę 25 obraz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Hieronima Boscha. Odwiedzimy równie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prastary las u podn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Krywania w Tatrach.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Program:  29 maja - 2 czerwca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Inżynierii Materiałowej i Ceramiki AGH / budynek B8 / Sala 010A i 010B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godz. 18.00 / 20.00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 BEZPŁATNY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projekcjach spotkania z ekspertami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Niech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stanie światłość / Let There Be Light, reż. Mila Aung-Thwin, Van Royko, (CAN) | 80’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PON|29.05 18:00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CZW|01.06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Boom, krach, boom / Boom Bust Boom,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Ben Timlett, Terry Jones, Bill Jones, (GBR) | 74’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 29.05 18:00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 31.05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Jezioro Wostok. W Górach Szale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ństwa / Lake Vostok. At the Mountains of Madness, reż.|dir. Ekaterina Eremenko, (RUS) | 90’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PON|29.05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 31.05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Hieronim Bosch. Dotkni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ęty przez diabła / Jheronimus Bosch - Touched by the Devil, reż. Pieter van Huijstee, (NLD) | 87’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PON|29.05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Maszyna ludzkich marze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/ Machine of Human Dreams, reż. Roy Cohen, (GBR) | 75’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WT|30.05 18:00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Farerowie i wieloryby / The Islands and the Whales,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Mike Day, (GBR, DNK) | 81’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WT|30.05 18:00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 jako archiwum / The Body as Archive, reż.|dir. Michael Maurissens, (GER, NLD, BEL, GBR) | 47’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WT|30.05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śmiertelny las / The Immortal Forest, reż.|dir. Erik Bal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ž, (SVK) | 52’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WT|30.05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Przysz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łość pracy i śmierci / The Future of Work and Death, reż.|dir. Sean Blacknell, Wayne Walsh, (GBR, USA, UGA) | 88’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ŚR|31.05 18:00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łote geny / Golden Genes, reż. Wolfgang Konrad, Ursula Hansbauer, Clemens Stachel, (AUT)| 90’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ŚR|31.05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 I 02.06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